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70"/>
        <w:tblLook w:firstRow="1" w:lastRow="0" w:firstColumn="0" w:lastColumn="0" w:noHBand="0" w:noVBand="1"/>
      </w:tblPr>
      <w:tblGrid>
        <w:gridCol w:w="2221"/>
        <w:gridCol w:w="133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R_3HH9bTSIXRy0p7r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place of residence affects the mood. Since I&amp;#39;ve lived in Würzburg, I haven&amp;#39;t been so depressed when going for a walk.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2020-08-14T12:32:14Z</dcterms:modified>
  <cp:category/>
</cp:coreProperties>
</file>