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29033"/>
        <w:tblLook w:firstRow="1" w:lastRow="0" w:firstColumn="0" w:lastColumn="0" w:noHBand="0" w:noVBand="1"/>
      </w:tblPr>
      <w:tblGrid>
        <w:gridCol w:w="2221"/>
        <w:gridCol w:w="26812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R_3HUkpvbZsMktKPE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Genderqueer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Panromantic/Pansexual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Mentally Unwell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Iâ€™m in college, so I do have access to student medical and mental health services. With a potential two week closing, access to these services will be limited to none. </w:t>
              <w:br/>
              <w:t xml:space="preserve"/>
              <w:br/>
              <w:t xml:space="preserve">That said, even in college Iâ€™m finding that bullying still takes place, only in more nuanced ways.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2020-08-14T12:16:53Z</dcterms:modified>
  <cp:category/>
</cp:coreProperties>
</file>