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8607"/>
        <w:tblLook w:firstRow="1" w:lastRow="0" w:firstColumn="0" w:lastColumn="0" w:noHBand="0" w:noVBand="1"/>
      </w:tblPr>
      <w:tblGrid>
        <w:gridCol w:w="2221"/>
        <w:gridCol w:w="3638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R_3HYplMgEZX1X11P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my friendships and romantic relationships, as they are frequently long-distance. My location and the locations I have lived at in the past influence my identity as well; I frequently moved cross-country or to other countries growing up which solidified my ethnic identity as I felt disconnected from any ancestry or place more narrow than the United States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2020-08-14T12:08:39Z</dcterms:modified>
  <cp:category/>
</cp:coreProperties>
</file>