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332"/>
        <w:tblLook w:firstRow="1" w:lastRow="0" w:firstColumn="0" w:lastColumn="0" w:noHBand="0" w:noVBand="1"/>
      </w:tblPr>
      <w:tblGrid>
        <w:gridCol w:w="2221"/>
        <w:gridCol w:w="341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R_3JxvrQO5Nac2T0T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Mormon region, and come from a very Mormon family and heritage.  Mormonism does not recognize trans peopleâ€™s identities and they openly pathologies non-heterosexuality.  That deeply impacts the perspectives of my local community, family, local laws, and my access to adequate medical care, especially mental health care.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2020-08-14T12:30:17Z</dcterms:modified>
  <cp:category/>
</cp:coreProperties>
</file>