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5481"/>
        <w:tblLook w:firstRow="1" w:lastRow="0" w:firstColumn="0" w:lastColumn="0" w:noHBand="0" w:noVBand="1"/>
      </w:tblPr>
      <w:tblGrid>
        <w:gridCol w:w="2221"/>
        <w:gridCol w:w="6326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R_3KC9Cr2yWZHT2A6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like Alaska has a somewhat unique social climate. Most people here feel very strongly one way or another about things, and that led to my generation being largely radically leftist. That opened up a lot of potential for accepting friends during my highschool years, which was wonderfully formative. That being said, there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w:t>
              <w:br/>
              <w:t xml:space="preserve"/>
              <w:br/>
              <w:t xml:space="preserve"/>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2020-08-14T12:31:36Z</dcterms:modified>
  <cp:category/>
</cp:coreProperties>
</file>