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8019"/>
        <w:tblLook w:firstRow="1" w:lastRow="0" w:firstColumn="0" w:lastColumn="0" w:noHBand="0" w:noVBand="1"/>
      </w:tblPr>
      <w:tblGrid>
        <w:gridCol w:w="2221"/>
        <w:gridCol w:w="457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R_3NNSHanMrDdJzE9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I'm white, raised in a white neighborhood, but with a lot of liberal/left leaning people. This has led me to feel comfortable experimenting with gender and sexuality, but has left me lacking in education on racial issues. I live in a very safe neighborhood and do not experience violence, and it came as quite a shock when I was in a group of people with wildly different lives than me who live through fights at school, violence at home, and can still come out of it nonchalant.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2020-08-14T12:09:05Z</dcterms:modified>
  <cp:category/>
</cp:coreProperties>
</file>