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0079"/>
        <w:tblLook w:firstRow="1" w:lastRow="0" w:firstColumn="0" w:lastColumn="0" w:noHBand="0" w:noVBand="1"/>
      </w:tblPr>
      <w:tblGrid>
        <w:gridCol w:w="2221"/>
        <w:gridCol w:w="478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R_3ekPkHBnZqWBnzi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my location does impact me; I have a plethora of food options, banking services, and medical professionals located very close by. It is a high-traffic neighbourhood with both residential and professional buildings, and a school, so it is active on both weekdays and weekends. Most importantly, I live on the same block as a subway station, so I have freedom of mobility (when the outside is safe). This all means that I have access to food and can see my friends without much issue.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2020-08-14T12:30:59Z</dcterms:modified>
  <cp:category/>
</cp:coreProperties>
</file>