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787"/>
        <w:tblLook w:firstRow="1" w:lastRow="0" w:firstColumn="0" w:lastColumn="0" w:noHBand="0" w:noVBand="1"/>
      </w:tblPr>
      <w:tblGrid>
        <w:gridCol w:w="2221"/>
        <w:gridCol w:w="215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R_3g1asjw9f52oBn9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relatively safe in Berlin because of the gender I have read and also with my gender identity. I also feel safer with my sexuality than in other places. But big cities are also sometimes exhausting for groups of friends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2020-08-14T12:33:09Z</dcterms:modified>
  <cp:category/>
</cp:coreProperties>
</file>