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9829"/>
        <w:tblLook w:firstRow="1" w:lastRow="0" w:firstColumn="0" w:lastColumn="0" w:noHBand="0" w:noVBand="1"/>
      </w:tblPr>
      <w:tblGrid>
        <w:gridCol w:w="2221"/>
        <w:gridCol w:w="3760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R_3gOE7Fnzuayslcg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about to move to rural Alaska for a new attorney position with the Public Defender Agency. I'm really excited about the job and starting a new professional life.</w:t>
              <w:br/>
              <w:t xml:space="preserve">But I am very nervous about opportunities for living openly and actively gay in a small town 400 miles from the road system. My responses are likely to change from the ones made now while living in Northern California.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2020-08-14T12:18:16Z</dcterms:modified>
  <cp:category/>
</cp:coreProperties>
</file>