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0547"/>
        <w:tblLook w:firstRow="1" w:lastRow="0" w:firstColumn="0" w:lastColumn="0" w:noHBand="0" w:noVBand="1"/>
      </w:tblPr>
      <w:tblGrid>
        <w:gridCol w:w="2221"/>
        <w:gridCol w:w="7832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R_3iVG9N6MYTSEBib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high degree of conformaty present in Utah also manages to create an environment in which counterculture groups provide meaningful touchstones for non-conforming persons. I have found that the SM community is quite dedicated and valued amongst its members. I have been largely isolated from the BDSM community in the months of Covid-19 precaution and that absence has negatively impacted my health and self worth. </w:t>
              <w:br/>
              <w:t xml:space="preserve">The prevailing religion is also a cultural force.</w:t>
              <w:br/>
              <w:t xml:space="preserve">When I worked for a Mormon organization, my outgroup status made me feel extremely devalued. It's hard to avoid that feeling in this state. I have a lot to say about how unsafe I feel in this state, how my childhood was fraught with rejection and sadness and how those thoughts persist. Thank you for doing this research.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2020-08-14T12:29:53Z</dcterms:modified>
  <cp:category/>
</cp:coreProperties>
</file>