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2016"/>
        <w:tblLook w:firstRow="1" w:lastRow="0" w:firstColumn="0" w:lastColumn="0" w:noHBand="0" w:noVBand="1"/>
      </w:tblPr>
      <w:tblGrid>
        <w:gridCol w:w="2221"/>
        <w:gridCol w:w="69795"/>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R_3k0NqZ04ofivcRe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Kingdom</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94"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Living in Britain and being a university student in an accepting department as an queer immigrant with depression and anxiety is definitely helping me feel supported compared to my peers in other parts of the world (America and Romania). I'm also middle class and both my parents have an annual income of &gt;Â£100k so I have medical insurance and can access private therapy at any time and buy medication when I need it. The greatest support has always come from my academic departments (my sixth form high school, university) who accommodate for mental illness and go the extra mile to meet my needs. The NHS long waiting times did lead to a suicide attempt and the counselling provided did not help.</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2020-08-14T12:29:14Z</dcterms:modified>
  <cp:category/>
</cp:coreProperties>
</file>