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444"/>
        <w:tblLook w:firstRow="1" w:lastRow="0" w:firstColumn="0" w:lastColumn="0" w:noHBand="0" w:noVBand="1"/>
      </w:tblPr>
      <w:tblGrid>
        <w:gridCol w:w="2221"/>
        <w:gridCol w:w="9922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R_3lX1aFlWMHmOi2V</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Panromantic/Pansexual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Emotionally Disabled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 not sure how my location impacts my life. I know the city I come from is more conservative so there are some ideals here that may be different than other places. I feel as though some of the people who live in my city and that are my age may not even be able to understand what half of the questions asked on this survey mean. I think I am a privileged to not have fallen into a lot of the negative things that impact my city such as drugs, gang activity, police violence ect. and that I am fairly educated on sexuality and gender.</w:t>
              <w:br/>
              <w:t xml:space="preserve"/>
              <w:br/>
              <w:t xml:space="preserve">I feel as though my upbringing, social relations, predispositional vulnerabilities, and my environment rather than location has made an impact on my struggles and fortunes. The thing I listed above may not effect me, but I know it has an impact on the well being of many people who do live in my same location</w:t>
              <w:br/>
              <w:t xml:space="preserve"/>
              <w:br/>
              <w:t xml:space="preserve">I will say though that the greatest impact my location may have, or more so my over all country would be access to health care, especially mental healthcare for me personally.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2020-08-14T12:16:34Z</dcterms:modified>
  <cp:category/>
</cp:coreProperties>
</file>