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4503"/>
        <w:tblLook w:firstRow="1" w:lastRow="0" w:firstColumn="0" w:lastColumn="0" w:noHBand="0" w:noVBand="1"/>
      </w:tblPr>
      <w:tblGrid>
        <w:gridCol w:w="2221"/>
        <w:gridCol w:w="422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R_3q84m912ZQ4iaoy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relatively safe neighbourhood. I know most of my neighbours and can have conversations with them, which helps to maintain relationships. The neighbourhood I live in is close to a lot of schools and parks, which makes it safer, as there are a lot of children living in my neighbourhood. Living in Canada makes me feel safer and there are many ways to travel to see the people I know, such as friends or my significant other.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2020-08-14T12:22:27Z</dcterms:modified>
  <cp:category/>
</cp:coreProperties>
</file>