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860"/>
        <w:tblLook w:firstRow="1" w:lastRow="0" w:firstColumn="0" w:lastColumn="0" w:noHBand="0" w:noVBand="1"/>
      </w:tblPr>
      <w:tblGrid>
        <w:gridCol w:w="2221"/>
        <w:gridCol w:w="5263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R_3qUqmm0AeMNZrwt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Furloughed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2020-08-14T12:31:53Z</dcterms:modified>
  <cp:category/>
</cp:coreProperties>
</file>