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5748"/>
        <w:tblLook w:firstRow="1" w:lastRow="0" w:firstColumn="0" w:lastColumn="0" w:noHBand="0" w:noVBand="1"/>
      </w:tblPr>
      <w:tblGrid>
        <w:gridCol w:w="2221"/>
        <w:gridCol w:w="4352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R_3qxuxyMrygNzDSU</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Philippines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Homoromantic</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impacts me because I had no choice in living under the laws that benefit most others but repress me or my rights, and thus my opportunities regardless of qualifications--I get to see discrimination because of living through it, having no choice when it happens to me other than having my own voice. My location impacts me by my awareness of my surroundings, from class, to race, to age, to social connection, to accessibility of idea.</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2020-08-14T12:28:57Z</dcterms:modified>
  <cp:category/>
</cp:coreProperties>
</file>