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49123"/>
        <w:tblLook w:firstRow="1" w:lastRow="0" w:firstColumn="0" w:lastColumn="0" w:noHBand="0" w:noVBand="1"/>
      </w:tblPr>
      <w:tblGrid>
        <w:gridCol w:w="2221"/>
        <w:gridCol w:w="4690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R_3s16rnzDZx3fqCq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Low Resourced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especially being in Ontario gives me great access to medical resources, which I can access for free with OHIP. My location in a small town also allows me access to a close-knit community of individuals as well as grocery stores, doctor offices, restaurants and clothing stores, everything I need to be happy and healthy. My location also provides a community that is committed to respecting everyone regardless of their orientation, race, identity, age and health status.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2020-08-14T12:22:26Z</dcterms:modified>
  <cp:category/>
</cp:coreProperties>
</file>