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4866"/>
        <w:tblLook w:firstRow="1" w:lastRow="0" w:firstColumn="0" w:lastColumn="0" w:noHBand="0" w:noVBand="1"/>
      </w:tblPr>
      <w:tblGrid>
        <w:gridCol w:w="2221"/>
        <w:gridCol w:w="4264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R_570b2plmongx90R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suburban. I live with my mom, dad and sister (26) while my brother (29) lives in Virginia. I feel very safe where I live and I have a good relationship with my family. I moved to my current location the summer of junior year of high school so that had an impact on mental health. My location doesn't have much of an impact on my life. Recently, it's been more about social life, and school that has effected my health the most.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2020-08-14T12:20:58Z</dcterms:modified>
  <cp:category/>
</cp:coreProperties>
</file>