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74466"/>
        <w:tblLook w:firstRow="1" w:lastRow="0" w:firstColumn="0" w:lastColumn="0" w:noHBand="0" w:noVBand="1"/>
      </w:tblPr>
      <w:tblGrid>
        <w:gridCol w:w="2221"/>
        <w:gridCol w:w="72246"/>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R_6Vk9iEzlRhoajKx</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Bulgaria</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Heterosexual</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White/European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Immigrant</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 live at two locations: Sofia is my hometown, but I study and work in Luxembourg. I have noticed that mostly I feel helpless and anxious in Sofia because generally the standard of living is much lower, from there the attitude and the mentality is different, focused on the lack (survival mode). People are more prone to drawn in their emotions, so I get more care about my feelings by my family and friends there. In Luxembourg, I usually feel more hopeful, more relaxed, my mind is clearer because I don't have to think how to survive, I think how to develop. Surviving is a given, the mode there is improvement. For this reason, people do not show their emotions that often, therfore they don't care that much about other people's feeling either.</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2020-08-14T12:11:13Z</dcterms:modified>
  <cp:category/>
</cp:coreProperties>
</file>