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2037"/>
        <w:tblLook w:firstRow="1" w:lastRow="0" w:firstColumn="0" w:lastColumn="0" w:noHBand="0" w:noVBand="1"/>
      </w:tblPr>
      <w:tblGrid>
        <w:gridCol w:w="2221"/>
        <w:gridCol w:w="59817"/>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R_6tVhN8MZMFwGKzL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Diabetes</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moved from a fairly liberal state to Arizona within the past year. Seeing the differences in how Minnesota is dealing with the COVID 19 epidemic in comparison to Arizona has really affected my mental health. I do not feel safe here but I am stuck here until I finish my PhD.</w:t>
              <w:br/>
              <w:t xml:space="preserve"/>
              <w:br/>
              <w:t xml:space="preserve">I want to leave this place as soon as possible but this is my ancestral home and I feel bound to improving this place because it's where I belong. There is a lot of tension here. I do not feel as safe identifying as Bisexual. I do not feel as safe identifying as polyamorous. I definitely do not feel safe idenifying as Xicanx. I don't feel safe here.</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2020-08-14T12:29:43Z</dcterms:modified>
  <cp:category/>
</cp:coreProperties>
</file>