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9618"/>
        <w:tblLook w:firstRow="1" w:lastRow="0" w:firstColumn="0" w:lastColumn="0" w:noHBand="0" w:noVBand="1"/>
      </w:tblPr>
      <w:tblGrid>
        <w:gridCol w:w="2221"/>
        <w:gridCol w:w="573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R_9uePy35BemKegXT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most of my life I identified as a gay man, as of late I prefer queer person. I live in Bakersfield, and itâ€™s a fucking disaster of a city. I grew up here and returned 3 years ago to attend college. I plan on leaving for the east coast after I graduate. </w:t>
              <w:br/>
              <w:t xml:space="preserve"/>
              <w:br/>
              <w:t xml:space="preserve">As a queer person, a Democrat, and an atheist, i am the complete antipode of the Bakersfield demographic. I encounter some form of homophobia on a weekly basis. </w:t>
              <w:br/>
              <w:t xml:space="preserve"/>
              <w:br/>
              <w:t xml:space="preserve">I have bipolar disorder as well as a an anxiety disorder. I am currently medicated and receiving less than mediocre care through government funded health insurance.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2020-08-14T12:16:37Z</dcterms:modified>
  <cp:category/>
</cp:coreProperties>
</file>