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036"/>
        <w:tblLook w:firstRow="1" w:lastRow="0" w:firstColumn="0" w:lastColumn="0" w:noHBand="0" w:noVBand="1"/>
      </w:tblPr>
      <w:tblGrid>
        <w:gridCol w:w="2221"/>
        <w:gridCol w:w="7281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R_AuKUQZyXdC9C5RD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Nonbinary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Short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situation is unique in a few eays. I am privileged not to have to worry about housing, and I live in a safe area, so even though I have very little money, I feel more secure than most people in my financial situation. </w:t>
              <w:br/>
              <w:t xml:space="preserve"/>
              <w:br/>
              <w:t xml:space="preserve">Additionally, the current pandemic effects my answers, as I am sheltering alone and have been deprived if physical contact for months. I have a strong support system among my friends, but am extremely lonely regardless. </w:t>
              <w:br/>
              <w:t xml:space="preserve"/>
              <w:br/>
              <w:t xml:space="preserve">Finally, I live in a state whose medicaid program is trans-inclusive, and in a city with a very good informed consent clinic. Access to health care has been easy and largely free. If I were not able to easily access trans-positive health care, my overall mood and outlook on life would be significantly worse.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2020-08-14T12:28:23Z</dcterms:modified>
  <cp:category/>
</cp:coreProperties>
</file>