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1712"/>
        <w:tblLook w:firstRow="1" w:lastRow="0" w:firstColumn="0" w:lastColumn="0" w:noHBand="0" w:noVBand="1"/>
      </w:tblPr>
      <w:tblGrid>
        <w:gridCol w:w="2221"/>
        <w:gridCol w:w="3949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R_AyWnzsrVv7si0N3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Poland</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like my location doesnâ€™t influence these things as much as for others as I believe that my family hasnâ€™t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2020-08-14T12:12:29Z</dcterms:modified>
  <cp:category/>
</cp:coreProperties>
</file>