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4593"/>
        <w:tblLook w:firstRow="1" w:lastRow="0" w:firstColumn="0" w:lastColumn="0" w:noHBand="0" w:noVBand="1"/>
      </w:tblPr>
      <w:tblGrid>
        <w:gridCol w:w="2221"/>
        <w:gridCol w:w="4237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R_CmLxPDoZoEeClc5</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grew up in Pittsburgh, PA right by the city. The city in and of itself is pretty modern and open with their inclusivity which is especially celebrated with their yearly weekend long LGBTQ parade/festival. I think because of my fathers socioeconomic status and the fact that I am considered the â€œnormâ€ being that Iâ€™m heterosexual, there have not been many obstacles in my way when it comes to safety, health or relationships.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2020-08-14T12:12:04Z</dcterms:modified>
  <cp:category/>
</cp:coreProperties>
</file>