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0656"/>
        <w:tblLook w:firstRow="1" w:lastRow="0" w:firstColumn="0" w:lastColumn="0" w:noHBand="0" w:noVBand="1"/>
      </w:tblPr>
      <w:tblGrid>
        <w:gridCol w:w="2221"/>
        <w:gridCol w:w="38436"/>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R_OHWlsZkIkhNojVD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Nonbinary</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Lesbian</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Stressed/PTSD/Anxiety/Depression/Self-Critical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Salt Lake City is much more lgbtq friendly than anywhere else in Utah, but lots of religious bills and attitudes affect LGBTQ people directly, from teachers not being able to say anything â€œpositive about homosexualityâ€ to bills being proposed to limit trans kids medical options. Schools and seminaries tend to be very cis and heterosexual. But I feel like we have a strong lgbtq community.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2020-08-14T12:14:39Z</dcterms:modified>
  <cp:category/>
</cp:coreProperties>
</file>