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3928"/>
        <w:tblLook w:firstRow="1" w:lastRow="0" w:firstColumn="0" w:lastColumn="0" w:noHBand="0" w:noVBand="1"/>
      </w:tblPr>
      <w:tblGrid>
        <w:gridCol w:w="2221"/>
        <w:gridCol w:w="8170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R_PZpdZRgsGBx48ed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beautiful geographic location.  The town in live in is quite depressed and there is much lack.  Lack of income, resources, drive to improve self in much of this community along with a lack of resources to do so.  The cost of living is very high in compare to the income people are able to make.  There is a large population of drug and alcohol users as well.  Many would move and yet optional towns are higher cost (as in Stowe) and unattainable for most residents here under these circumstances.  Health in this county gets put on the back burner or often, left by the wayside all together due to the economical issues in this area.  There is a widening path of those broadening their awareness and community which I feel will help exponentially in the future for this area.  Connection is key.  It is also the limiting factor in these times.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2020-08-14T12:11:13Z</dcterms:modified>
  <cp:category/>
</cp:coreProperties>
</file>