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5830"/>
        <w:tblLook w:firstRow="1" w:lastRow="0" w:firstColumn="0" w:lastColumn="0" w:noHBand="0" w:noVBand="1"/>
      </w:tblPr>
      <w:tblGrid>
        <w:gridCol w:w="2221"/>
        <w:gridCol w:w="63610"/>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R_Rtu4enND4f6KTND</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Middle Eastern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Religious Minority</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Living in an area easily accessible to everything such as entertainment, shopping centres, and friends who all live in the same area and within walking distance has a great impact on my personal health. Having access to these institutions make it much easier to talk to, interact and have fun with others. In terms of relationships, with most of my friends and family being nearby, it is easy to hold relationships and access them when needed. In terms of safety, living in area that has had violence and criminal activty does have a negative effect on an individual, but putting that aside many neighbours and friends make it less evident and are welcoming.</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2020-08-14T12:20:39Z</dcterms:modified>
  <cp:category/>
</cp:coreProperties>
</file>