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304"/>
        <w:tblLook w:firstRow="1" w:lastRow="0" w:firstColumn="0" w:lastColumn="0" w:noHBand="0" w:noVBand="1"/>
      </w:tblPr>
      <w:tblGrid>
        <w:gridCol w:w="2221"/>
        <w:gridCol w:w="800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R_SICoju41jYsZE9b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the south and it hasnâ€™t exactly been easy. Though I currently live in a more open minded part of our city, I had to leave my old job because of harassment after I came out on Facebook. I wasnâ€™t fired, but the harassment was poorly handled enough that I no longer felt like I could stay on. I was lucky enough to have something else lined up, but itâ€™s still been difficult. If I didnâ€™t live with a partner right now I would probably be homeless or in danger of being homeless. I was booted off of my momâ€™s insurance and although I desperately need mental health care (I have PTSD, GAD, and depression) I canâ€™t afford it and access has been especially difficult with everything else going on. I donâ€™t know what things are like elsewhere but it definitely doesnâ€™t help to live in a southern state.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2020-08-14T12:29:12Z</dcterms:modified>
  <cp:category/>
</cp:coreProperties>
</file>