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2026"/>
        <w:tblLook w:firstRow="1" w:lastRow="0" w:firstColumn="0" w:lastColumn="0" w:noHBand="0" w:noVBand="1"/>
      </w:tblPr>
      <w:tblGrid>
        <w:gridCol w:w="2221"/>
        <w:gridCol w:w="5980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R_UEhVN7jfgS6Bwch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 the first 30 years of my life, I lived in a large metropolitan city with a greater array of core values and acceptance of individuals for the people they are. Less than two years ago, I relocated to a small city about 1 hour away from a large metropolitan city. This change came with a smaller variety of individual groupings and a greater sense of oddity in my surroundings. While Iâ€™m happy with my current home and neighboring environment, I do recognize that many of the individuals I encounter daily have a narrower mindset in relation to acceptance of other based solely on sexuality or perceived sexuality.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2020-08-14T12:17:51Z</dcterms:modified>
  <cp:category/>
</cp:coreProperties>
</file>