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085"/>
        <w:tblLook w:firstRow="1" w:lastRow="0" w:firstColumn="0" w:lastColumn="0" w:noHBand="0" w:noVBand="1"/>
      </w:tblPr>
      <w:tblGrid>
        <w:gridCol w:w="2221"/>
        <w:gridCol w:w="238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R_V3aMEDtWOoJTOBr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optimal access to resources and my own space in my home. I feel safe in my hometown and neighbourhood. This may impact my mental well-being in a positive manner as compared to someone who is stressed about their own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2020-08-14T12:20:11Z</dcterms:modified>
  <cp:category/>
</cp:coreProperties>
</file>