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36025"/>
        <w:tblLook w:firstRow="1" w:lastRow="0" w:firstColumn="0" w:lastColumn="0" w:noHBand="0" w:noVBand="1"/>
      </w:tblPr>
      <w:tblGrid>
        <w:gridCol w:w="2221"/>
        <w:gridCol w:w="33805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R_WeZvGYFQGEAh9Bv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Germany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Deutsch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Larger Bodied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live in a small village, but with easy access to larger cities. I achieve mobility with my own car. The climatic conditions in my place of residence, less snow and cold as well as warmer and more lakes and rivers, I clearly prefer to places of residence. Being close to friends and family is also more personal when the journey times are not so long.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2020-08-14T12:33:28Z</dcterms:modified>
  <cp:category/>
</cp:coreProperties>
</file>