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0004"/>
        <w:tblLook w:firstRow="1" w:lastRow="0" w:firstColumn="0" w:lastColumn="0" w:noHBand="0" w:noVBand="1"/>
      </w:tblPr>
      <w:tblGrid>
        <w:gridCol w:w="2221"/>
        <w:gridCol w:w="4778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R_WlpGfqbzotW5I9X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Black/African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 personally feel as though my  perception of my geographic location is based entirely on my current interpersonal relationships. Because I have such a wonderful relationship with my family, a strong connection with my friends, a great support group, and am neighbors to friends I grew up with together, the fact that we live in a neighborhood that isn't necessarily the safest and far from financially sound, doesn't faze me. In fact, it provides me with more hope to what I can aspire towards.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2020-08-14T12:24:04Z</dcterms:modified>
  <cp:category/>
</cp:coreProperties>
</file>