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740"/>
        <w:tblLook w:firstRow="1" w:lastRow="0" w:firstColumn="0" w:lastColumn="0" w:noHBand="0" w:noVBand="1"/>
      </w:tblPr>
      <w:tblGrid>
        <w:gridCol w:w="2221"/>
        <w:gridCol w:w="6252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R_XZDPZFNzJAAkqJP</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Nonbinary</w:t>
            </w:r>
          </w:p>
        </w:tc>
      </w:tr>
      <w:tr>
        <w:trPr>
          <w:cantSplit/>
          <w:trHeight w:val="42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Queer</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Black/African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Itâ€™s extremely dangerous to be gay in Nigeria. Nigerian families (unless raised or have lived for prolonged periods of time abroad) are very strict about having their children not be gay and there are usually very painful exile-like procedures where the families would be aggressive. Beatings, insults, control over the childrens lives come into play, causing tough emotional, mental and often times physical tolls on the children. Itâ€™s either the children â€˜submitâ€™ or face consequences. Many lie and hide their identities from parents to not have to deal with the hassle of Nigerian families (particularly ones who are extremely religious).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2020-08-14T12:11:07Z</dcterms:modified>
  <cp:category/>
</cp:coreProperties>
</file>