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8461"/>
        <w:tblLook w:firstRow="1" w:lastRow="0" w:firstColumn="0" w:lastColumn="0" w:noHBand="0" w:noVBand="1"/>
      </w:tblPr>
      <w:tblGrid>
        <w:gridCol w:w="2221"/>
        <w:gridCol w:w="3624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R_ZaeRJ30wdQCTMpH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France</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 much as it is dynamic and busy, Paris is a city of cultural freedom - you can be whoever you want to be and there would always be people who will help you build yourself up. The city is stimulating and inspiring, however It could have its downsides too, depending on its districts, in which safety is an apparent issue. I believe that is the case in every metropolitan city.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2020-08-14T12:10:50Z</dcterms:modified>
  <cp:category/>
</cp:coreProperties>
</file>