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219"/>
        <w:tblLook w:firstRow="1" w:lastRow="0" w:firstColumn="0" w:lastColumn="0" w:noHBand="0" w:noVBand="1"/>
      </w:tblPr>
      <w:tblGrid>
        <w:gridCol w:w="2221"/>
        <w:gridCol w:w="549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R_Zta2BbLGoMojDfX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certainly impacts my quality of life. Being able to live in the United Kingdom means that I get access to the basic necessities of life which ensures my safety, shelter, food and water. I have no complaints about my location in that regard. However it can also be said that living in London, the capital of England, which is a city rich with multicultural sights and people it is very easy for someone of all aspects of their identity to be accepted, including myself. I feel perfectly comfortable residing here and I doubt that all locations will grant me such a luxury.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2020-08-14T12:10:34Z</dcterms:modified>
  <cp:category/>
</cp:coreProperties>
</file>