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1625"/>
        <w:tblLook w:firstRow="1" w:lastRow="0" w:firstColumn="0" w:lastColumn="0" w:noHBand="0" w:noVBand="1"/>
      </w:tblPr>
      <w:tblGrid>
        <w:gridCol w:w="2221"/>
        <w:gridCol w:w="29404"/>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R_beaUTKovfG5wWhr</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Germany</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Deutsch</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Mentally Unwell</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feel safe. Sometimes safe. Relations with the family partly close (same house) partly very far away (Thuringia, Saxony). Relationships with friends only in neighboring towns, not accessible on foot. Shops can be reached on foot, doctors and university can only be reached by public transport or car.</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2020-08-14T12:33:14Z</dcterms:modified>
  <cp:category/>
</cp:coreProperties>
</file>