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769"/>
        <w:tblLook w:firstRow="1" w:lastRow="0" w:firstColumn="0" w:lastColumn="0" w:noHBand="0" w:noVBand="1"/>
      </w:tblPr>
      <w:tblGrid>
        <w:gridCol w:w="2221"/>
        <w:gridCol w:w="495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R_eVUFaK9JHRM0O8p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some of my rankings may seem inconsistent in the sense that I have a high quality of life, I think, but overall struggle with sadness, depression, anxiety, etc. Part of this is because I left an abusive relationship and am still reeling / recovering from that. I am lucky in the sense that I have the finances to support all of my "new" mental health needs, but part of the reason I was trapped was because I didn't always have the resources to support what I needed to escape and recover from the fallout.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2020-08-14T12:29:35Z</dcterms:modified>
  <cp:category/>
</cp:coreProperties>
</file>