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29919"/>
        <w:tblLook w:firstRow="1" w:lastRow="0" w:firstColumn="0" w:lastColumn="0" w:noHBand="0" w:noVBand="1"/>
      </w:tblPr>
      <w:tblGrid>
        <w:gridCol w:w="2221"/>
        <w:gridCol w:w="27699"/>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R_rkVp6NDeK2uNgQ1</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Canada</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 Response (Left Blank)</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Heterosexual</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White/European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Immigrant</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 live in a rich neighbourhood so people have high incomes where I live even though my parents don't make enough money. living in this area makes me form good relationships with people doing stuff with their lives and form good connections as well as provide myself with safety .</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2020-08-14T12:19:02Z</dcterms:modified>
  <cp:category/>
</cp:coreProperties>
</file>