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022"/>
        <w:tblLook w:firstRow="1" w:lastRow="0" w:firstColumn="0" w:lastColumn="0" w:noHBand="0" w:noVBand="1"/>
      </w:tblPr>
      <w:tblGrid>
        <w:gridCol w:w="2221"/>
        <w:gridCol w:w="4080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R_s6H2K0n5R58iZCV</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Panromantic/Pansexual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Intellectually Disabled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had to either leave the religion I grew up with or face a lifetime of being non-functionally miserable. However, this does not have to do with my location, but rather the global religion. Perhaps some of the difficulty came from how everyone hears everything in my town, especially if they went to the same church. Too bad those people can't focus on Jesus' actual message when all they do is gossip. Food for thought!</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2020-08-14T12:12:02Z</dcterms:modified>
  <cp:category/>
</cp:coreProperties>
</file>