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392"/>
        <w:tblLook w:firstRow="1" w:lastRow="0" w:firstColumn="0" w:lastColumn="0" w:noHBand="0" w:noVBand="1"/>
      </w:tblPr>
      <w:tblGrid>
        <w:gridCol w:w="2221"/>
        <w:gridCol w:w="1517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R_xbh1HC5qjQS5g77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Midwest makes being open about sexuality and gender a bit worse than it would be in other locations, but still better than, say, in the south.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2020-08-14T12:31:24Z</dcterms:modified>
  <cp:category/>
</cp:coreProperties>
</file>