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2313"/>
        <w:tblLook w:firstRow="1" w:lastRow="0" w:firstColumn="0" w:lastColumn="0" w:noHBand="0" w:noVBand="1"/>
      </w:tblPr>
      <w:tblGrid>
        <w:gridCol w:w="2221"/>
        <w:gridCol w:w="90093"/>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R_z6gaBR6NaXj02HL</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Kingdom</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23"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Queer</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chronic illnesses are the main thing negatively impacting my quality of life. However, I'm very lucky to live with my parents right now who are very supportive of me while I try to improve my health. I'm not able to work or study right now which is difficult for me. Trying to understand my relationship with myself and my body in light of my diagnoses has also affected how I'm trying to figure out my sexuality and gender identity. My geographic location has positives and negatives. Living in a rural area is beautiful which is nice for my mental health. Living in Scotland is amazing because my health care costs very little. However, living in a rural area in Scotland makes it difficult to get to all my doctors' appointments, especially since I am not able to drive anymore and my family does not have a car. Being a white American immigrant means that I don't have most of the disadvantages other immigrants face in this country.</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2020-08-14T12:13:22Z</dcterms:modified>
  <cp:category/>
</cp:coreProperties>
</file>