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9085"/>
        <w:tblLook w:firstRow="1" w:lastRow="0" w:firstColumn="0" w:lastColumn="0" w:noHBand="0" w:noVBand="1"/>
      </w:tblPr>
      <w:tblGrid>
        <w:gridCol w:w="2221"/>
        <w:gridCol w:w="4686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R_zfd1ZUGPLx1bCoN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believe that since I come from a working-class community that most of the people around me have similar issues. I feel safe in my current location because I am familiar with my community members. I do think that since a lot of people in my location are immigrants, that it may be difficult to be gay. Since a lot of these individuals come from countries where not being heterosexual is a sin, or a crime. In regards to that, I can see how someone may feel unsafe or uncomfortable.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2020-08-14T12:19:02Z</dcterms:modified>
  <cp:category/>
</cp:coreProperties>
</file>