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601"/>
        <w:tblLook w:firstRow="1" w:lastRow="0" w:firstColumn="0" w:lastColumn="0" w:noHBand="0" w:noVBand="1"/>
      </w:tblPr>
      <w:tblGrid>
        <w:gridCol w:w="2221"/>
        <w:gridCol w:w="153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R_1jJMrB448mAAngn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proximity to the university, which pays great attention to gender-equitable language and behavior, had a positive influence on my handling of the topic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2020-08-14T12:40:06Z</dcterms:modified>
  <cp:category/>
</cp:coreProperties>
</file>