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5344"/>
        <w:tblLook w:firstRow="1" w:lastRow="0" w:firstColumn="0" w:lastColumn="0" w:noHBand="0" w:noVBand="1"/>
      </w:tblPr>
      <w:tblGrid>
        <w:gridCol w:w="2221"/>
        <w:gridCol w:w="3312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R_2bhNnN9dMchncVb</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Straight</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impacts me because I believe, who and what you are surrounded with will effect your every day life. Where I live is in a middle class happy place. I believe your location can change the way you see things and how you act for example if you grew up in the hood you may get involved with drugs because you grew up with that.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2020-08-14T12:37:28Z</dcterms:modified>
  <cp:category/>
</cp:coreProperties>
</file>