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9651"/>
        <w:tblLook w:firstRow="1" w:lastRow="0" w:firstColumn="0" w:lastColumn="0" w:noHBand="0" w:noVBand="1"/>
      </w:tblPr>
      <w:tblGrid>
        <w:gridCol w:w="2221"/>
        <w:gridCol w:w="4743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R_2wvHzuRjsbZWNsU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grew up in a secure neighborhood, so Iâ€™ve never had to worry about my safety regarding location. Iâ€™ve had a healthy relationship with my parents and they have provided almost all of my families needs (financially, physically, and emotionally). Living in a rural conservative area could impose difficulties if I identified differently regarding my sexual orientation or gender, however, sense I identify with the societal norms I have not personally run into any problems in that aspect.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2020-08-14T12:39:31Z</dcterms:modified>
  <cp:category/>
</cp:coreProperties>
</file>