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3149"/>
        <w:tblLook w:firstRow="1" w:lastRow="0" w:firstColumn="0" w:lastColumn="0" w:noHBand="0" w:noVBand="1"/>
      </w:tblPr>
      <w:tblGrid>
        <w:gridCol w:w="2221"/>
        <w:gridCol w:w="5092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R_3Mz0cDPMpYXDnwl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place of residence influences me in the way that I can be free, geographically but also as a person. I can go anywhere without limits, I can develop freely, I can enjoy nature. I can ride my bike alone at three o&amp;#39;clock in the morning without fear. My place of residence allows me to have many relationships and to be healthy. Mentally, because I can go to the sea or the forest, geographically, because I can see a doctor when I&amp;#39;m sick. My place of residence is part of my identity and often makes me feel good.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2020-08-14T12:40:06Z</dcterms:modified>
  <cp:category/>
</cp:coreProperties>
</file>