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5531"/>
        <w:tblLook w:firstRow="1" w:lastRow="0" w:firstColumn="0" w:lastColumn="0" w:noHBand="0" w:noVBand="1"/>
      </w:tblPr>
      <w:tblGrid>
        <w:gridCol w:w="2221"/>
        <w:gridCol w:w="43311"/>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R_Qn2kqCbFAH92KWd</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Germany</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Deutsch</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86"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find Hildesheim a less safe place than other places (I&amp;#39;ve moved more often) because a lot of strange people walk around here, especially at night, the Ö-PNV is very bad for Hildesheim being officially a big city, but you have relatively good connections to other larger cities and, accordingly, all the supply options you need, the people are not as open as in the Rhineland, for example, but also not quite as closed as in northern Germany</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2020-08-14T12:41:00Z</dcterms:modified>
  <cp:category/>
</cp:coreProperties>
</file>