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4013"/>
        <w:tblLook w:firstRow="1" w:lastRow="0" w:firstColumn="0" w:lastColumn="0" w:noHBand="0" w:noVBand="1"/>
      </w:tblPr>
      <w:tblGrid>
        <w:gridCol w:w="2221"/>
        <w:gridCol w:w="817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R_ZmiywjObddFV5qF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relationships are positively influenced by my place of residence because our place is a bit smaller and you can spontaneously meet friends / acquaintances differently than in big cities. I also see my security higher with us, especially in relation to break-ins, theft and violence because this is only minimal with us and if you do then you know the &amp;quot;bad roads&amp;quot; and avoid them. My personal development and diversity is limited by my place of residence because here you definitely stand out if you are something â € œdifferentâ € doesnâ € ™ t matter whether you are figure, character, etc. Because I have complexities with my figure despite having a normal build I feel the pressure here in Coburg is significantly greater than in larger cities. One is viewed more critically here and more is expected of one in terms of appearance.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2020-08-14T12:40:35Z</dcterms:modified>
  <cp:category/>
</cp:coreProperties>
</file>