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0480"/>
        <w:tblLook w:firstRow="1" w:lastRow="0" w:firstColumn="0" w:lastColumn="0" w:noHBand="0" w:noVBand="1"/>
      </w:tblPr>
      <w:tblGrid>
        <w:gridCol w:w="2221"/>
        <w:gridCol w:w="3825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R_yVh0NicZRHjr5M5</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really live in the country and I think the community of people my age is really good! You are totally networked and know almost everyone here. Which is of course great for friendships and security on the one hand, but on the other hand it is also a bit difficult to find new relationships. Besides, our family doctor isn&amp;#39;t that competent here in the village, but there are very few alternatives.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2020-08-14T12:40:50Z</dcterms:modified>
  <cp:category/>
</cp:coreProperties>
</file>