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action-servlet 설정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81775" cy="42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2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클라이언트의 모든 요청은 DispatcherServlet이 받는다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DispatcherServlet은 handlerMapping을 통해 요청에 해당하는 Controller 실행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Controller는 Service 통해 DAO에 접근하여 DB처리 요청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DAO는 myBatis 이용하여 Mapper를 통해 DB 작업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결과는 역순으로 Controller에 전달됨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Controller는 DB 결과와 출력할 뷰를 MAV형태로 DispatcherServlet에 전달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ViewResolver를 통해 전달받은 뷰이름을 검색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DispatcherServlet에 반환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DispatcherServlet이 클라이언트에 전달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2713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DispatcherServlet은 Spring 컨테이너를 구동할 때 web.xml에서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&lt;Servlet-name&gt;에 servlet.xml을 붙여 Spring 설정 파일을 찾는다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*.do에 해당하는 url접근이 발생하면 action-servlet을 DispatcherServlet 동작하도록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action-servlet.xml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ViewResolver 설정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DispatcherServlet 안에는 InternalResourceViewResolver가 내장되어 있음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734050" cy="136331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3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Controller가 지정하여 전달한 뷰 이름의 앞과 뒤에 뷰의 파일 위치와 형식을 지정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 methodNameResolver와 memberService 주입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memberService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485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컨텍스트 파라미터로 실행된 action-service에서 주입된 memberService빈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memberDAO가 주입되어 있음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methodNameResolver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PropertiesMethodNameResolver를 통해 MethodResolver생성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URL 요청명으로 컨트롤러의 설정파일에서 미리 설정된 메서드를 바로 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호출하여 사용할 수 있음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handlerMapping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SimpleUrlHandlerMapping을 통해 핸들러매핑 생성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url과 컨트트롤러의 매핑정보를 한 곳에 모아 놓는 핸들러 매핑 전략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매핑정보는 &lt;property&gt;에 적는다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/member/*.do는 memberController 빈과 매핑됨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