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12. Tiles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Tiles란</w:t>
        <w:tab/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화면의 레이아웃 기능을 제공하는 오픈소스 라이브러리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화면 기본 구성 레이아웃 템플릿을 정의하고 상속을 통해 구조 구성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재사용, 확장성이 좋다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2105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tiles-core, tiles-jsp, tiles-servlet 디펜던시 추가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servlet에 tilesViewResolver 추가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xml 파일 설정으로 jsp를 만든다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TilesConfigurer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xml 파일을 받아오는 소스 설정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preparerFactoryClass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tiles의 추가적인 기능을 추가해주기 위해 선언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xml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DTD 선언 및 &lt;tiles-definitions&gt;&lt;/tiles-definitions&gt; 태그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&lt;definition&gt; :레이아웃을 설정할 jsp의 이름과 위치 설정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</w:t>
        <w:tab/>
        <w:t xml:space="preserve">&lt;put-attribute&gt; 배치될 jsp의 이름과 위치 설정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104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1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baseLayout을 상속받아 상황에 따른 body 의 jsp설정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layout.jsp 에서 xml에 설정한 jsp들을 insert하고 css 설정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